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«Начальное общее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Организация добровольческой (волонтерской) деятельности и взаимодействие с социально ориентированными НКО</w:t>
            </w:r>
          </w:p>
          <w:p>
            <w:pPr>
              <w:jc w:val="center"/>
              <w:spacing w:after="0" w:line="240" w:lineRule="auto"/>
              <w:rPr>
                <w:sz w:val="32"/>
                <w:szCs w:val="32"/>
              </w:rPr>
            </w:pPr>
            <w:r>
              <w:rPr>
                <w:rFonts w:ascii="Times New Roman" w:hAnsi="Times New Roman" w:cs="Times New Roman"/>
                <w:color w:val="#000000"/>
                <w:sz w:val="32"/>
                <w:szCs w:val="32"/>
              </w:rPr>
              <w:t> ФТД.04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общее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605.38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«Начальное общее образование»;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«Организация добровольческой (волонтерской) деятельности и взаимодействие с социально ориентированными НКО»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ФТД.04 «Организация добровольческой (волонтерской) деятельности и взаимодействие с социально ориентированными НКО».</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«Организация добровольческой (волонтерской) деятельности и взаимодействие с социально ориентированными НКО»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условия эффективного речевого взаимодействия, свойства и разновидности диалога-обсуждения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особенности речевого взаимодействия в группе, разновидности коммуникативных ролей в групповом общении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знать психологию групп и психологию лидерства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знать методы влияния и управления командой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знать общие правила функционирования сферы финансов как составляющей социального взаимодействия</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знать принципы, правила и методы взаимодействия с финансовыми институтами и организациями в процессе осуществления финансовых операций; источники информации о существующих финансовых продуктах, их</w:t>
            </w:r>
          </w:p>
          <w:p>
            <w:pPr>
              <w:jc w:val="left"/>
              <w:spacing w:after="0" w:line="240" w:lineRule="auto"/>
              <w:rPr>
                <w:sz w:val="24"/>
                <w:szCs w:val="24"/>
              </w:rPr>
            </w:pPr>
            <w:r>
              <w:rPr>
                <w:rFonts w:ascii="Times New Roman" w:hAnsi="Times New Roman" w:cs="Times New Roman"/>
                <w:color w:val="#000000"/>
                <w:sz w:val="24"/>
                <w:szCs w:val="24"/>
              </w:rPr>
              <w:t> производителях, существующих каналах получения информации и консультационных услуг</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УК-3.7 уметь формировать деловые коммуникации в процессе финансовых операций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УК-3.8 уметь использовать информацию о существующих финансовых продуктах, их производителях, каналах получения информации и консультационных услуг в процессе принятия финансовых решений; осуществлять финансовое планирование и контроль личного бюджета и бюджета домохозяйства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УК-3.9 уметь организовывать взаимодействие в группе (определять общие цели, распределять роли и т.д.)</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УК-3.10 уметь понимать позицию собеседника, различать в его речи мнение, доказательства, факты, гипотезы, аксиомы, теории и пр.</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УК-3.11 уметь критически относиться к собственному мнению, признавать ошибочность собственного мнения и корректировать его</w:t>
            </w:r>
          </w:p>
        </w:tc>
      </w:tr>
      <w:tr>
        <w:trPr>
          <w:trHeight w:hRule="exact" w:val="403.074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УК-3.12 владеть  навыками и методами взаимодействия с финансовыми учреждениями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(письменные и устные консультации, работа с персональным финансовым менеджером, порталами финансовых услуг и т.п.)</w:t>
            </w:r>
          </w:p>
        </w:tc>
      </w:tr>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УК-3.13 владеть методами финансового планирования, контроля личного бюджета, осознанного выбора финансовых продуктов и услуг с учётом информации об имеющихся возможностях и рисках</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УК-3.14 владеть ценностями и нормами речевого поведения в процессе группового общения (культурой группового общения)</w:t>
            </w:r>
          </w:p>
        </w:tc>
      </w:tr>
      <w:tr>
        <w:trPr>
          <w:trHeight w:hRule="exact" w:val="314.57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УК-3.15 владеть приемами гармонизации диалога в ходе группового обсуждения</w:t>
            </w:r>
          </w:p>
        </w:tc>
      </w:tr>
      <w:tr>
        <w:trPr>
          <w:trHeight w:hRule="exact" w:val="314.57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УК-3.16 владеть методами влияния и управления командой</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ФТД.04 «Организация добровольческой (волонтерской) деятельности и взаимодействие с социально ориентированными НКО»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Социальная педагогика и психология</w:t>
            </w:r>
          </w:p>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 педагога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(преподавательская)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1 зачетных единиц – 36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7</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Волонтёрство как ресурс личностно-го роста и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Многообразие форм добровольческой</w:t>
            </w:r>
          </w:p>
          <w:p>
            <w:pPr>
              <w:jc w:val="left"/>
              <w:spacing w:after="0" w:line="240" w:lineRule="auto"/>
              <w:rPr>
                <w:sz w:val="24"/>
                <w:szCs w:val="24"/>
              </w:rPr>
            </w:pPr>
            <w:r>
              <w:rPr>
                <w:rFonts w:ascii="Times New Roman" w:hAnsi="Times New Roman" w:cs="Times New Roman"/>
                <w:color w:val="#000000"/>
                <w:sz w:val="24"/>
                <w:szCs w:val="24"/>
              </w:rPr>
              <w:t> (волонтерской)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Взаимодействие с социально ориентированными НКО, инициативными группами, органами власти и иными</w:t>
            </w:r>
          </w:p>
          <w:p>
            <w:pPr>
              <w:jc w:val="left"/>
              <w:spacing w:after="0" w:line="240" w:lineRule="auto"/>
              <w:rPr>
                <w:sz w:val="24"/>
                <w:szCs w:val="24"/>
              </w:rPr>
            </w:pPr>
            <w:r>
              <w:rPr>
                <w:rFonts w:ascii="Times New Roman" w:hAnsi="Times New Roman" w:cs="Times New Roman"/>
                <w:color w:val="#000000"/>
                <w:sz w:val="24"/>
                <w:szCs w:val="24"/>
              </w:rPr>
              <w:t> 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Волонтёрство как ресурс личностного роста и общественного</w:t>
            </w:r>
          </w:p>
          <w:p>
            <w:pPr>
              <w:jc w:val="left"/>
              <w:spacing w:after="0" w:line="240" w:lineRule="auto"/>
              <w:rPr>
                <w:sz w:val="24"/>
                <w:szCs w:val="24"/>
              </w:rPr>
            </w:pPr>
            <w:r>
              <w:rPr>
                <w:rFonts w:ascii="Times New Roman" w:hAnsi="Times New Roman" w:cs="Times New Roman"/>
                <w:color w:val="#000000"/>
                <w:sz w:val="24"/>
                <w:szCs w:val="24"/>
              </w:rPr>
              <w:t>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Многообразие форм добровольческой (волонтерской)</w:t>
            </w:r>
          </w:p>
          <w:p>
            <w:pPr>
              <w:jc w:val="left"/>
              <w:spacing w:after="0" w:line="240" w:lineRule="auto"/>
              <w:rPr>
                <w:sz w:val="24"/>
                <w:szCs w:val="24"/>
              </w:rPr>
            </w:pPr>
            <w:r>
              <w:rPr>
                <w:rFonts w:ascii="Times New Roman" w:hAnsi="Times New Roman" w:cs="Times New Roman"/>
                <w:color w:val="#000000"/>
                <w:sz w:val="24"/>
                <w:szCs w:val="24"/>
              </w:rPr>
              <w:t>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Взаимодействие с социально ориентированными НКО, инициативными группами, органами власти и иными 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9067.25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03.0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Волонтёрство как ресурс личностно-го роста и обществен-ного развития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добровольчества (волонтерства), добровольческой (волонтерской) организации, организатора добровольческой (волонтерской) деятельности. Взаимосвязь добровольчества(волонтерства) с существенными и позитивными изменениями в личности человека. Государственная политика в области развития добровольчества (волонтерства). Возможности добровольчества (волонтерства) в решении вопросов местного значения, социально-экономическом развитии регионов и достижении целей национального развития.</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Многообразие форм добровольческой</w:t>
            </w:r>
          </w:p>
          <w:p>
            <w:pPr>
              <w:jc w:val="center"/>
              <w:spacing w:after="0" w:line="240" w:lineRule="auto"/>
              <w:rPr>
                <w:sz w:val="24"/>
                <w:szCs w:val="24"/>
              </w:rPr>
            </w:pPr>
            <w:r>
              <w:rPr>
                <w:rFonts w:ascii="Times New Roman" w:hAnsi="Times New Roman" w:cs="Times New Roman"/>
                <w:b/>
                <w:color w:val="#000000"/>
                <w:sz w:val="24"/>
                <w:szCs w:val="24"/>
              </w:rPr>
              <w:t> (волонтерской) деятельности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и задачи добровольческой (волонтерской) деятельности. Формы и виды добровольческой (волонтерской) деятельности: разнообразие и взаимное влияние. Историческое наследие и направления добровольчества. Развитие волонтерства в различных сферах жизнедеятельности. Циклы развития волонтерской деятельности. Волонтерский менеджмент. Программы саморазвития личности в аспекте добровольчества. Социальное проектирование. Благотворительность.</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работы с волонтерами</w:t>
            </w:r>
          </w:p>
        </w:tc>
      </w:tr>
      <w:tr>
        <w:trPr>
          <w:trHeight w:hRule="exact" w:val="1886.30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работы с волонтерами: рекрутинг, повышение узнаваемости проектов, работа со СМИ, обучение, оценка эффективности волонтерской деятельности. Границы ответственности добровольцев (волонтёров), организаторов добровольческой (волонтерской) деятельности и добровольческих (волонтерских) организаций. Мотивация волонтеров. Проблема и профилактика эмоционального выгорания. Сравнительный анализ мотивации стихийных волонтеров, эпизодических волонтеров и волонтеров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долгосрочных проектов. Диагностика мотивации волонтеров. Показано, что волонтерская деятельность выступает как условие и фактор формирования  социально значимых личностных свойств человека. Определены основные потребности молодежи, реализуемые в рамках волонтерской деятельности: потребность человека быть нужным другому человеку, потребность в общении, потребность в творчестве, потребность в саморазвитии и построении карьеры, потребность в приобретении социального опыта, потребность в подтверждении самостоятельности и взрослости.</w:t>
            </w: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Взаимодействие с социально ориентированными НКО, инициативными группами, органами власти и иными</w:t>
            </w:r>
          </w:p>
          <w:p>
            <w:pPr>
              <w:jc w:val="center"/>
              <w:spacing w:after="0" w:line="240" w:lineRule="auto"/>
              <w:rPr>
                <w:sz w:val="24"/>
                <w:szCs w:val="24"/>
              </w:rPr>
            </w:pPr>
            <w:r>
              <w:rPr>
                <w:rFonts w:ascii="Times New Roman" w:hAnsi="Times New Roman" w:cs="Times New Roman"/>
                <w:b/>
                <w:color w:val="#000000"/>
                <w:sz w:val="24"/>
                <w:szCs w:val="24"/>
              </w:rPr>
              <w:t> организациями.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Инновации в добровольчестве (волонтерстве) и деятельности социально ориентированных НКО. Формы, механизмы и порядки взаимодействия с федеральными органами власти, органами власти субъектов Российской Федерации, органами местного самоуправления, подведомственными им государственными и муниципальными учреждениями, иными организациями (по направлениям волонтерской деятельности). Взаимодействия с социально ориентированными НКО, органами власти и подведомственными им организациями: причины провалов и лучшие практики. Управление рисками в работе с волонтерами и волонтерскими организациями.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Волонтёрство как ресурс личностного роста и общественного</w:t>
            </w:r>
          </w:p>
          <w:p>
            <w:pPr>
              <w:jc w:val="center"/>
              <w:spacing w:after="0" w:line="240" w:lineRule="auto"/>
              <w:rPr>
                <w:sz w:val="24"/>
                <w:szCs w:val="24"/>
              </w:rPr>
            </w:pPr>
            <w:r>
              <w:rPr>
                <w:rFonts w:ascii="Times New Roman" w:hAnsi="Times New Roman" w:cs="Times New Roman"/>
                <w:b/>
                <w:color w:val="#000000"/>
                <w:sz w:val="24"/>
                <w:szCs w:val="24"/>
              </w:rPr>
              <w:t> развития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ходе обучения студенты активизируют личностные ресурсы, способствующие саморазвитию и самореализации, повышению уровня толерантности и личностной креативности как адаптационного ресурса и условия эффективной волонтерской деятельности, рефлексии, повышению устойчивости к эмоциональному выгоранию и профессиональной деформации.</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Многообразие форм добровольческой (волонтерской)</w:t>
            </w:r>
          </w:p>
          <w:p>
            <w:pPr>
              <w:jc w:val="center"/>
              <w:spacing w:after="0" w:line="240" w:lineRule="auto"/>
              <w:rPr>
                <w:sz w:val="24"/>
                <w:szCs w:val="24"/>
              </w:rPr>
            </w:pPr>
            <w:r>
              <w:rPr>
                <w:rFonts w:ascii="Times New Roman" w:hAnsi="Times New Roman" w:cs="Times New Roman"/>
                <w:b/>
                <w:color w:val="#000000"/>
                <w:sz w:val="24"/>
                <w:szCs w:val="24"/>
              </w:rPr>
              <w:t> деятельности.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типы и цели добровольчества (волонтерства): разнообразие и взаимное влияние. Механизмы и технологии добровольческой деятельности. Волонтерский менеджмент. Программы саморазвития личности в аспекте добровольчества.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работы с волонтерами.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Обучение позволит освоить современные психологические технологии диагностики потенциальных волонтеров, с целью профессионального отбора; повышения уровня коммуникативной компетентности, развития профессиональной наблюдательности, анализа различных аспектов синдрома эмоционального выгорания.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 концепций, подходов и (или) технологий.</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Взаимодействие с социально ориентированными НКО, инициативными группами, органами власти и иными организациями.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результате обучения обучающиеся получат представление о знания о способах построения конструктивного общения (взаимодействия) с представителями органами власти и различных социальных групп; приобретают способность демонстрировать коммуникационные умения в контексте социального партнерства.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«Организация добровольческой (волонтерской) деятельности и взаимодействие с социально ориентированными НКО» / Котлярова Т.С..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волонтерством:</w:t>
            </w:r>
            <w:r>
              <w:rPr/>
              <w:t xml:space="preserve"> </w:t>
            </w:r>
            <w:r>
              <w:rPr>
                <w:rFonts w:ascii="Times New Roman" w:hAnsi="Times New Roman" w:cs="Times New Roman"/>
                <w:color w:val="#000000"/>
                <w:sz w:val="24"/>
                <w:szCs w:val="24"/>
              </w:rPr>
              <w:t>международный</w:t>
            </w:r>
            <w:r>
              <w:rPr/>
              <w:t xml:space="preserve"> </w:t>
            </w:r>
            <w:r>
              <w:rPr>
                <w:rFonts w:ascii="Times New Roman" w:hAnsi="Times New Roman" w:cs="Times New Roman"/>
                <w:color w:val="#000000"/>
                <w:sz w:val="24"/>
                <w:szCs w:val="24"/>
              </w:rPr>
              <w:t>опыт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локальные</w:t>
            </w:r>
            <w:r>
              <w:rPr/>
              <w:t xml:space="preserve"> </w:t>
            </w:r>
            <w:r>
              <w:rPr>
                <w:rFonts w:ascii="Times New Roman" w:hAnsi="Times New Roman" w:cs="Times New Roman"/>
                <w:color w:val="#000000"/>
                <w:sz w:val="24"/>
                <w:szCs w:val="24"/>
              </w:rPr>
              <w:t>практики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Певная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Зборовский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978-5-534-10984-9.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https://urait.ru/bcode/454782</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Твори</w:t>
            </w:r>
            <w:r>
              <w:rPr/>
              <w:t xml:space="preserve"> </w:t>
            </w:r>
            <w:r>
              <w:rPr>
                <w:rFonts w:ascii="Times New Roman" w:hAnsi="Times New Roman" w:cs="Times New Roman"/>
                <w:color w:val="#000000"/>
                <w:sz w:val="24"/>
                <w:szCs w:val="24"/>
              </w:rPr>
              <w:t>добро.</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Наумов,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Ворошнина,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Гаврилова,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Токаева,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Мифтахова,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Твори</w:t>
            </w:r>
            <w:r>
              <w:rPr/>
              <w:t xml:space="preserve"> </w:t>
            </w:r>
            <w:r>
              <w:rPr>
                <w:rFonts w:ascii="Times New Roman" w:hAnsi="Times New Roman" w:cs="Times New Roman"/>
                <w:color w:val="#000000"/>
                <w:sz w:val="24"/>
                <w:szCs w:val="24"/>
              </w:rPr>
              <w:t>добро.</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Пермь:</w:t>
            </w:r>
            <w:r>
              <w:rPr/>
              <w:t xml:space="preserve"> </w:t>
            </w:r>
            <w:r>
              <w:rPr>
                <w:rFonts w:ascii="Times New Roman" w:hAnsi="Times New Roman" w:cs="Times New Roman"/>
                <w:color w:val="#000000"/>
                <w:sz w:val="24"/>
                <w:szCs w:val="24"/>
              </w:rPr>
              <w:t>Пермский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гуманитарно-педагогический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http://www.iprbookshop.ru/32218.html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волонтерского</w:t>
            </w:r>
            <w:r>
              <w:rPr/>
              <w:t xml:space="preserve"> </w:t>
            </w:r>
            <w:r>
              <w:rPr>
                <w:rFonts w:ascii="Times New Roman" w:hAnsi="Times New Roman" w:cs="Times New Roman"/>
                <w:color w:val="#000000"/>
                <w:sz w:val="24"/>
                <w:szCs w:val="24"/>
              </w:rPr>
              <w:t>движения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Митрофаненко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http://www.iprbookshop.ru/63025.html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Социально-культурное</w:t>
            </w:r>
            <w:r>
              <w:rPr/>
              <w:t xml:space="preserve"> </w:t>
            </w:r>
            <w:r>
              <w:rPr>
                <w:rFonts w:ascii="Times New Roman" w:hAnsi="Times New Roman" w:cs="Times New Roman"/>
                <w:color w:val="#000000"/>
                <w:sz w:val="24"/>
                <w:szCs w:val="24"/>
              </w:rPr>
              <w:t>творчество</w:t>
            </w:r>
            <w:r>
              <w:rPr/>
              <w:t xml:space="preserve"> </w:t>
            </w:r>
            <w:r>
              <w:rPr>
                <w:rFonts w:ascii="Times New Roman" w:hAnsi="Times New Roman" w:cs="Times New Roman"/>
                <w:color w:val="#000000"/>
                <w:sz w:val="24"/>
                <w:szCs w:val="24"/>
              </w:rPr>
              <w:t>участников</w:t>
            </w:r>
            <w:r>
              <w:rPr/>
              <w:t xml:space="preserve"> </w:t>
            </w:r>
            <w:r>
              <w:rPr>
                <w:rFonts w:ascii="Times New Roman" w:hAnsi="Times New Roman" w:cs="Times New Roman"/>
                <w:color w:val="#000000"/>
                <w:sz w:val="24"/>
                <w:szCs w:val="24"/>
              </w:rPr>
              <w:t>молодежных</w:t>
            </w:r>
            <w:r>
              <w:rPr/>
              <w:t xml:space="preserve"> </w:t>
            </w:r>
            <w:r>
              <w:rPr>
                <w:rFonts w:ascii="Times New Roman" w:hAnsi="Times New Roman" w:cs="Times New Roman"/>
                <w:color w:val="#000000"/>
                <w:sz w:val="24"/>
                <w:szCs w:val="24"/>
              </w:rPr>
              <w:t>объединений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формировании</w:t>
            </w:r>
            <w:r>
              <w:rPr/>
              <w:t xml:space="preserve"> </w:t>
            </w:r>
            <w:r>
              <w:rPr>
                <w:rFonts w:ascii="Times New Roman" w:hAnsi="Times New Roman" w:cs="Times New Roman"/>
                <w:color w:val="#000000"/>
                <w:sz w:val="24"/>
                <w:szCs w:val="24"/>
              </w:rPr>
              <w:t>института</w:t>
            </w:r>
            <w:r>
              <w:rPr/>
              <w:t xml:space="preserve"> </w:t>
            </w:r>
            <w:r>
              <w:rPr>
                <w:rFonts w:ascii="Times New Roman" w:hAnsi="Times New Roman" w:cs="Times New Roman"/>
                <w:color w:val="#000000"/>
                <w:sz w:val="24"/>
                <w:szCs w:val="24"/>
              </w:rPr>
              <w:t>волонтерства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Васильковская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Пономарёв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Кемерово:</w:t>
            </w:r>
            <w:r>
              <w:rPr/>
              <w:t xml:space="preserve"> </w:t>
            </w:r>
            <w:r>
              <w:rPr>
                <w:rFonts w:ascii="Times New Roman" w:hAnsi="Times New Roman" w:cs="Times New Roman"/>
                <w:color w:val="#000000"/>
                <w:sz w:val="24"/>
                <w:szCs w:val="24"/>
              </w:rPr>
              <w:t>Кемеровский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978-5-8154-0361-1.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http://www.iprbookshop.ru/66366.html</w:t>
            </w:r>
            <w:r>
              <w:rPr/>
              <w:t xml:space="preserve"> </w:t>
            </w:r>
          </w:p>
        </w:tc>
      </w:tr>
      <w:tr>
        <w:trPr>
          <w:trHeight w:hRule="exact" w:val="1096.47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Тимец</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978-5-00094-344-1.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http://www.iprbookshop.ru/68907.html</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013.45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219.3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96.0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21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105.18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10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2023-2024_ФГОС3++2023_Бак-ОФО-ПО(НО)(23)_plx_Организация добровольческой (волонтерской) деятельности и взаимодействие с социально ориентированными НКО</dc:title>
  <dc:creator>FastReport.NET</dc:creator>
</cp:coreProperties>
</file>